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81" w:rsidRDefault="00E45220" w:rsidP="00E4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2FC1" w:rsidRDefault="00362FC1" w:rsidP="00E4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F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65859"/>
            <wp:effectExtent l="0" t="0" r="0" b="0"/>
            <wp:docPr id="1" name="Рисунок 1" descr="C:\Users\lera-пк\Desktop\Титул КД 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ra-пк\Desktop\Титул КД апр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C1" w:rsidRDefault="00362FC1" w:rsidP="00E4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220" w:rsidRDefault="00E45220" w:rsidP="00E4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371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МАОУ НШ-ДС № 14 в лице директора Грунской М.И., действующего на основании Устава и Работники, интересы которых представляет первичная профсоюзная организация в лице председателя профсоюзного комитета Гришиной Т.С.,   пришли к необходимости внесения изменений в коллективный договор и заключить настоящее дополнительное соглашение о нижеследующем: </w:t>
      </w:r>
    </w:p>
    <w:p w:rsidR="003E67F5" w:rsidRPr="00032371" w:rsidRDefault="003E67F5" w:rsidP="00E4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220" w:rsidRPr="003E67F5" w:rsidRDefault="00E45220" w:rsidP="003E67F5">
      <w:pPr>
        <w:pStyle w:val="a3"/>
        <w:tabs>
          <w:tab w:val="center" w:pos="4677"/>
          <w:tab w:val="left" w:pos="687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>Стороны договорились</w:t>
      </w:r>
      <w:r w:rsidR="003E67F5" w:rsidRPr="003E6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7F5">
        <w:rPr>
          <w:rFonts w:ascii="Times New Roman" w:hAnsi="Times New Roman" w:cs="Times New Roman"/>
          <w:sz w:val="24"/>
          <w:szCs w:val="24"/>
        </w:rPr>
        <w:t>внести дополнения и изменения в коллективный договор</w:t>
      </w:r>
    </w:p>
    <w:p w:rsidR="00E45220" w:rsidRPr="003E67F5" w:rsidRDefault="00E45220" w:rsidP="003E6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>на 2019 – 2021 гг.</w:t>
      </w:r>
    </w:p>
    <w:p w:rsidR="00222ACC" w:rsidRPr="00292CAD" w:rsidRDefault="00292CAD" w:rsidP="00292CA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2ACC" w:rsidRPr="00222AC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22ACC" w:rsidRPr="00032371">
        <w:rPr>
          <w:rFonts w:ascii="Times New Roman" w:hAnsi="Times New Roman" w:cs="Times New Roman"/>
          <w:sz w:val="24"/>
          <w:szCs w:val="24"/>
        </w:rPr>
        <w:t xml:space="preserve">2.1.15. В случае направления работника на профессиональную подготовку, переподготовку или повышение квалификации, </w:t>
      </w:r>
      <w:r w:rsidR="00222ACC" w:rsidRPr="00032371">
        <w:rPr>
          <w:rFonts w:ascii="Times New Roman" w:hAnsi="Times New Roman" w:cs="Times New Roman"/>
          <w:b/>
          <w:sz w:val="24"/>
          <w:szCs w:val="24"/>
        </w:rPr>
        <w:t>а также на прохождение независимой оценки квалификации, на соответствие положениям профессионального стандарта или</w:t>
      </w:r>
      <w:r w:rsidR="00222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CC" w:rsidRPr="00032371">
        <w:rPr>
          <w:rFonts w:ascii="Times New Roman" w:hAnsi="Times New Roman" w:cs="Times New Roman"/>
          <w:b/>
          <w:sz w:val="24"/>
          <w:szCs w:val="24"/>
        </w:rPr>
        <w:t>квалификационным требованиям, установленным федеральными законами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CC" w:rsidRPr="00032371">
        <w:rPr>
          <w:rFonts w:ascii="Times New Roman" w:hAnsi="Times New Roman" w:cs="Times New Roman"/>
          <w:b/>
          <w:sz w:val="24"/>
          <w:szCs w:val="24"/>
        </w:rPr>
        <w:t>иными нормативными правовыми актами РФ в соответствии со ст.187 ТК РФ,</w:t>
      </w:r>
      <w:r w:rsidR="00222ACC" w:rsidRPr="00032371">
        <w:rPr>
          <w:rFonts w:ascii="Times New Roman" w:hAnsi="Times New Roman" w:cs="Times New Roman"/>
          <w:sz w:val="24"/>
          <w:szCs w:val="24"/>
        </w:rPr>
        <w:t xml:space="preserve"> с отрывом от работы сохранять за ним место работы (должность) и среднюю заработную плату по основному месту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CAD" w:rsidRDefault="00292CAD" w:rsidP="00292C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CC" w:rsidRPr="00292CAD" w:rsidRDefault="00222ACC" w:rsidP="00292C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</w:t>
      </w:r>
      <w:r w:rsidRPr="00032371">
        <w:rPr>
          <w:rFonts w:ascii="Times New Roman" w:hAnsi="Times New Roman" w:cs="Times New Roman"/>
          <w:sz w:val="24"/>
          <w:szCs w:val="24"/>
        </w:rPr>
        <w:t xml:space="preserve">2.1.17. Предоставлять гарантии и компенсации работникам, совмещающим работу с успешным обучением в организациях высшего образования по программам </w:t>
      </w:r>
      <w:proofErr w:type="spellStart"/>
      <w:r w:rsidRPr="0003237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2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37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32371">
        <w:rPr>
          <w:rFonts w:ascii="Times New Roman" w:hAnsi="Times New Roman" w:cs="Times New Roman"/>
          <w:sz w:val="24"/>
          <w:szCs w:val="24"/>
        </w:rPr>
        <w:t xml:space="preserve"> или магистратуры, профессионального образования по очно-заочной форме обучения, при получении ими образования соответствующего уровня впервые в порядке, предусмотренном ст.ст. 173 – 176 ТК РФ.</w:t>
      </w:r>
      <w:r w:rsidR="00292CAD">
        <w:rPr>
          <w:rFonts w:ascii="Times New Roman" w:hAnsi="Times New Roman" w:cs="Times New Roman"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b/>
          <w:sz w:val="24"/>
          <w:szCs w:val="24"/>
        </w:rPr>
        <w:t>Осуществлять профессиональное и дополнительное профессиональное обучение работников пред пенсионного и пенсионного возраста (письмо Минтруда от 1 февраля 2019 г. № 16-2/10/п-770), как самостоятельно в своей образовательной организации, так и посредством заключения договора с образовательной организацией, участвующей в региональной программе.</w:t>
      </w:r>
    </w:p>
    <w:p w:rsidR="00292CAD" w:rsidRDefault="00292CAD" w:rsidP="00292C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ACC" w:rsidRPr="00032371" w:rsidRDefault="00222ACC" w:rsidP="00292CAD">
      <w:pPr>
        <w:pStyle w:val="a3"/>
        <w:spacing w:line="276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</w:t>
      </w:r>
      <w:r w:rsidRPr="00292CAD">
        <w:rPr>
          <w:rFonts w:ascii="Times New Roman" w:eastAsiaTheme="majorEastAsia" w:hAnsi="Times New Roman" w:cs="Times New Roman"/>
          <w:sz w:val="24"/>
          <w:szCs w:val="24"/>
        </w:rPr>
        <w:t>3.1.17</w:t>
      </w:r>
      <w:r w:rsidRPr="00032371">
        <w:rPr>
          <w:rFonts w:ascii="Times New Roman" w:eastAsiaTheme="majorEastAsia" w:hAnsi="Times New Roman" w:cs="Times New Roman"/>
          <w:b/>
          <w:sz w:val="24"/>
          <w:szCs w:val="24"/>
        </w:rPr>
        <w:t>. Реализовывать комплекс мер, направленных на создание условий для совмещения женщинами обязанностей по воспитанию детей с трудовой занятостью (Указ Президента РФ от 07.05.2012 №606 «О мерах по реализации демографической политики Российской Федерации»):</w:t>
      </w:r>
    </w:p>
    <w:p w:rsidR="00222ACC" w:rsidRPr="00032371" w:rsidRDefault="00222ACC" w:rsidP="00292CA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2371">
        <w:rPr>
          <w:rFonts w:ascii="Times New Roman" w:hAnsi="Times New Roman" w:cs="Times New Roman"/>
          <w:b/>
          <w:sz w:val="24"/>
          <w:szCs w:val="24"/>
        </w:rPr>
        <w:t>- п</w:t>
      </w:r>
      <w:r w:rsidRPr="000323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заявлению женщины ей предоставляется отпуск по уходу за ребенком до достижения им возраста трех лет;</w:t>
      </w:r>
    </w:p>
    <w:p w:rsidR="00222ACC" w:rsidRPr="00032371" w:rsidRDefault="00222ACC" w:rsidP="00292CA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323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 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рождения;</w:t>
      </w:r>
    </w:p>
    <w:p w:rsidR="00222ACC" w:rsidRDefault="00222ACC" w:rsidP="00292C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32371">
        <w:rPr>
          <w:rFonts w:ascii="Times New Roman" w:eastAsia="Times New Roman" w:hAnsi="Times New Roman" w:cs="Times New Roman"/>
          <w:b/>
          <w:sz w:val="24"/>
          <w:szCs w:val="24"/>
        </w:rPr>
        <w:t>-р</w:t>
      </w:r>
      <w:r w:rsidRPr="000323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реже, чем через каждые три часа, продолжительностью не менее 30 минут каждый.</w:t>
      </w:r>
    </w:p>
    <w:p w:rsidR="00222ACC" w:rsidRDefault="00222ACC" w:rsidP="00292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Пункт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32371">
        <w:rPr>
          <w:rFonts w:ascii="Times New Roman" w:hAnsi="Times New Roman" w:cs="Times New Roman"/>
          <w:sz w:val="24"/>
          <w:szCs w:val="24"/>
        </w:rPr>
        <w:t xml:space="preserve">4.2.14.  Производить выплату заработной платы </w:t>
      </w:r>
      <w:r w:rsidRPr="00032371">
        <w:rPr>
          <w:rFonts w:ascii="Times New Roman" w:hAnsi="Times New Roman" w:cs="Times New Roman"/>
          <w:b/>
          <w:sz w:val="24"/>
          <w:szCs w:val="24"/>
        </w:rPr>
        <w:t xml:space="preserve">каждые полмесяца, не позднее 15 календарных дней со дня окончания периода, за который она начислена, в соответствии с ч.6 ст.136 ТК РФ. </w:t>
      </w:r>
      <w:r w:rsidRPr="003E67F5">
        <w:rPr>
          <w:rFonts w:ascii="Times New Roman" w:hAnsi="Times New Roman" w:cs="Times New Roman"/>
          <w:sz w:val="24"/>
          <w:szCs w:val="24"/>
        </w:rPr>
        <w:t>/02 и 17 числа/</w:t>
      </w:r>
      <w:r w:rsidR="00292CAD" w:rsidRPr="003E67F5">
        <w:rPr>
          <w:rFonts w:ascii="Times New Roman" w:hAnsi="Times New Roman" w:cs="Times New Roman"/>
          <w:sz w:val="24"/>
          <w:szCs w:val="24"/>
        </w:rPr>
        <w:t>.</w:t>
      </w:r>
    </w:p>
    <w:p w:rsidR="00222ACC" w:rsidRDefault="00222ACC" w:rsidP="003E67F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CAD">
        <w:rPr>
          <w:rFonts w:ascii="Times New Roman" w:hAnsi="Times New Roman" w:cs="Times New Roman"/>
          <w:sz w:val="24"/>
          <w:szCs w:val="24"/>
        </w:rPr>
        <w:lastRenderedPageBreak/>
        <w:t>5. 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sz w:val="24"/>
          <w:szCs w:val="24"/>
        </w:rPr>
        <w:t>4.2.</w:t>
      </w:r>
      <w:bookmarkStart w:id="1" w:name="_Hlk15286865"/>
      <w:r w:rsidRPr="00032371">
        <w:rPr>
          <w:rFonts w:ascii="Times New Roman" w:hAnsi="Times New Roman" w:cs="Times New Roman"/>
          <w:sz w:val="24"/>
          <w:szCs w:val="24"/>
        </w:rPr>
        <w:t>16.</w:t>
      </w:r>
      <w:r w:rsidRPr="00032371">
        <w:rPr>
          <w:rFonts w:ascii="Times New Roman" w:hAnsi="Times New Roman" w:cs="Times New Roman"/>
          <w:b/>
          <w:bCs/>
          <w:sz w:val="24"/>
          <w:szCs w:val="24"/>
        </w:rPr>
        <w:t xml:space="preserve"> Обеспечивать перечисление заработной платы работнику в кредитную организацию, указанную в его заявлении. При этом он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r w:rsidR="00292CAD" w:rsidRPr="00032371">
        <w:rPr>
          <w:rFonts w:ascii="Times New Roman" w:hAnsi="Times New Roman" w:cs="Times New Roman"/>
          <w:b/>
          <w:bCs/>
          <w:sz w:val="24"/>
          <w:szCs w:val="24"/>
        </w:rPr>
        <w:t>позднее,</w:t>
      </w:r>
      <w:r w:rsidRPr="00032371">
        <w:rPr>
          <w:rFonts w:ascii="Times New Roman" w:hAnsi="Times New Roman" w:cs="Times New Roman"/>
          <w:b/>
          <w:bCs/>
          <w:sz w:val="24"/>
          <w:szCs w:val="24"/>
        </w:rPr>
        <w:t xml:space="preserve"> чем за пять рабочих дней до дня ее выплаты, при этом на работодателя не может быть возложена обязанность по выплате банку вознаграждения за обслуживание банковской карты.</w:t>
      </w:r>
      <w:r w:rsidR="003E6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b/>
          <w:bCs/>
          <w:sz w:val="24"/>
          <w:szCs w:val="24"/>
        </w:rPr>
        <w:t>/ч.3 ст.136/</w:t>
      </w:r>
      <w:bookmarkEnd w:id="1"/>
    </w:p>
    <w:p w:rsidR="003E67F5" w:rsidRDefault="003E67F5" w:rsidP="00292CA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2ACC" w:rsidRPr="00292CAD" w:rsidRDefault="00222ACC" w:rsidP="00292C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F5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CAD" w:rsidRPr="00292CAD">
        <w:rPr>
          <w:rFonts w:ascii="Times New Roman" w:hAnsi="Times New Roman" w:cs="Times New Roman"/>
          <w:bCs/>
          <w:sz w:val="24"/>
          <w:szCs w:val="24"/>
        </w:rPr>
        <w:t>Пункт</w:t>
      </w:r>
      <w:r w:rsidR="00292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sz w:val="24"/>
          <w:szCs w:val="24"/>
        </w:rPr>
        <w:t xml:space="preserve">5.1.5. Организовать работу по охране труда и безопасности труда, исходя из результатов специальной оценки условий труда, проводимой в порядке и сроки, согласованные с выборным профсоюзном органом. В состав комиссии по </w:t>
      </w:r>
      <w:proofErr w:type="spellStart"/>
      <w:r w:rsidRPr="00032371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Pr="00032371"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включать представителей профкома.</w:t>
      </w:r>
      <w:r w:rsidR="00292CAD">
        <w:rPr>
          <w:rFonts w:ascii="Times New Roman" w:hAnsi="Times New Roman" w:cs="Times New Roman"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b/>
          <w:sz w:val="24"/>
          <w:szCs w:val="24"/>
        </w:rPr>
        <w:t>Разрабатывать совместно с профсоюзной организацией ежегодное соглашение по охране труда, включающее организационные и технические мероприятия по охране труда, затраты на выполнение каждого мероприятия, срок его выполнения, должностное лицо, ответственное за его выполнение.</w:t>
      </w:r>
      <w:r w:rsidR="00292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CAD" w:rsidRDefault="00292CAD" w:rsidP="00292CA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CC" w:rsidRPr="00292CAD" w:rsidRDefault="00222ACC" w:rsidP="00292CA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CAD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sz w:val="24"/>
          <w:szCs w:val="24"/>
        </w:rPr>
        <w:t>5.1.6. Инструктаж по охране труда проводить под роспись 2 раза в год: весной и осенью; организовать обучение безопасным методам и приёмам выполнения работ и оказания первой помощи, пострадавшим со всеми поступающими на работу, а также переведенными на другую работу, а также проверку знаний по охране труда (ст. 212 ТК РФ). Создать комиссию, не менее 3 человек, по проверке знаний работников по охране труда из числа лиц, прошедших обучение по 40-часовой программе.</w:t>
      </w:r>
      <w:r w:rsidR="00292CAD">
        <w:rPr>
          <w:rFonts w:ascii="Times New Roman" w:hAnsi="Times New Roman" w:cs="Times New Roman"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 w:rsidRPr="00032371">
          <w:rPr>
            <w:rFonts w:ascii="Times New Roman" w:hAnsi="Times New Roman" w:cs="Times New Roman"/>
            <w:b/>
            <w:spacing w:val="-6"/>
            <w:sz w:val="24"/>
            <w:szCs w:val="24"/>
          </w:rPr>
          <w:t>2012 г</w:t>
        </w:r>
      </w:smartTag>
      <w:r w:rsidRPr="00032371">
        <w:rPr>
          <w:rFonts w:ascii="Times New Roman" w:hAnsi="Times New Roman" w:cs="Times New Roman"/>
          <w:b/>
          <w:spacing w:val="-6"/>
          <w:sz w:val="24"/>
          <w:szCs w:val="24"/>
        </w:rPr>
        <w:t>. № 580н.</w:t>
      </w:r>
    </w:p>
    <w:p w:rsidR="00292CAD" w:rsidRDefault="00292CAD" w:rsidP="00292CAD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222ACC" w:rsidRPr="00292CAD" w:rsidRDefault="00222ACC" w:rsidP="00292C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F5">
        <w:rPr>
          <w:rFonts w:ascii="Times New Roman" w:hAnsi="Times New Roman" w:cs="Times New Roman"/>
          <w:spacing w:val="-6"/>
          <w:sz w:val="24"/>
          <w:szCs w:val="24"/>
        </w:rPr>
        <w:t>8.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2CAD">
        <w:rPr>
          <w:rFonts w:ascii="Times New Roman" w:hAnsi="Times New Roman" w:cs="Times New Roman"/>
          <w:spacing w:val="-6"/>
          <w:sz w:val="24"/>
          <w:szCs w:val="24"/>
        </w:rPr>
        <w:t>Пункт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sz w:val="24"/>
          <w:szCs w:val="24"/>
        </w:rPr>
        <w:t>5.1.7. Обеспечивать работников правилами и инструкциями, другими нормативными и справочными материалами по охране труда за счёт организации.</w:t>
      </w:r>
      <w:r w:rsidR="00292CAD">
        <w:rPr>
          <w:rFonts w:ascii="Times New Roman" w:hAnsi="Times New Roman" w:cs="Times New Roman"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b/>
          <w:sz w:val="24"/>
          <w:szCs w:val="24"/>
        </w:rPr>
        <w:t xml:space="preserve">Разрабатывать мероприятия по снижению доли работников, занятых в условиях, не отвечающих санитарно - гигиеническим нормам.  </w:t>
      </w:r>
    </w:p>
    <w:p w:rsidR="00292CAD" w:rsidRDefault="00292CAD" w:rsidP="00292CA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CC" w:rsidRPr="00292CAD" w:rsidRDefault="00222ACC" w:rsidP="00292C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F5">
        <w:rPr>
          <w:rFonts w:ascii="Times New Roman" w:hAnsi="Times New Roman" w:cs="Times New Roman"/>
          <w:sz w:val="24"/>
          <w:szCs w:val="24"/>
        </w:rPr>
        <w:t>9. 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sz w:val="24"/>
          <w:szCs w:val="24"/>
        </w:rPr>
        <w:t>5.1.8.</w:t>
      </w:r>
      <w:r w:rsidR="00292CAD">
        <w:rPr>
          <w:rFonts w:ascii="Times New Roman" w:hAnsi="Times New Roman" w:cs="Times New Roman"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sz w:val="24"/>
          <w:szCs w:val="24"/>
        </w:rPr>
        <w:t>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Федерации от 12.04.2011 № 302н, с сохранением за ними места работы и среднего заработка.</w:t>
      </w:r>
      <w:r w:rsidR="00292CAD">
        <w:rPr>
          <w:rFonts w:ascii="Times New Roman" w:hAnsi="Times New Roman" w:cs="Times New Roman"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b/>
          <w:sz w:val="24"/>
          <w:szCs w:val="24"/>
        </w:rPr>
        <w:t>«При прохождении диспансеризации в порядке, предусмотренном законодательством в сфере охраны здоровья, работники освобождаются от работы на один рабочий день один раз в три года с сохранением за ними места работы (должности) и среднего заработка</w:t>
      </w:r>
      <w:bookmarkStart w:id="2" w:name="dst2321"/>
      <w:bookmarkEnd w:id="2"/>
      <w:r w:rsidRPr="00032371">
        <w:rPr>
          <w:rFonts w:ascii="Times New Roman" w:hAnsi="Times New Roman" w:cs="Times New Roman"/>
          <w:b/>
          <w:sz w:val="24"/>
          <w:szCs w:val="24"/>
        </w:rPr>
        <w:t xml:space="preserve">.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</w:t>
      </w:r>
      <w:r w:rsidRPr="00032371">
        <w:rPr>
          <w:rFonts w:ascii="Times New Roman" w:hAnsi="Times New Roman" w:cs="Times New Roman"/>
          <w:b/>
          <w:sz w:val="24"/>
          <w:szCs w:val="24"/>
        </w:rPr>
        <w:lastRenderedPageBreak/>
        <w:t>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освобождаются от работы на два рабочих дня один раз в год с сохранением за ними места работы (должности) и среднего заработка»</w:t>
      </w:r>
      <w:r w:rsidR="0029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71">
        <w:rPr>
          <w:rFonts w:ascii="Times New Roman" w:hAnsi="Times New Roman" w:cs="Times New Roman"/>
          <w:b/>
          <w:sz w:val="24"/>
          <w:szCs w:val="24"/>
        </w:rPr>
        <w:t>/ст.185. Трудового кодекса Российской Федерации/</w:t>
      </w:r>
      <w:r w:rsidR="00292CAD">
        <w:rPr>
          <w:rFonts w:ascii="Times New Roman" w:hAnsi="Times New Roman" w:cs="Times New Roman"/>
          <w:b/>
          <w:sz w:val="24"/>
          <w:szCs w:val="24"/>
        </w:rPr>
        <w:t>.</w:t>
      </w:r>
    </w:p>
    <w:p w:rsidR="00292CAD" w:rsidRDefault="00292CAD" w:rsidP="00292CAD">
      <w:pPr>
        <w:rPr>
          <w:rFonts w:ascii="Times New Roman" w:hAnsi="Times New Roman" w:cs="Times New Roman"/>
          <w:b/>
          <w:sz w:val="24"/>
          <w:szCs w:val="24"/>
        </w:rPr>
      </w:pPr>
    </w:p>
    <w:p w:rsidR="00222ACC" w:rsidRDefault="00022D54" w:rsidP="00292CA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2ACC" w:rsidRPr="00292CAD">
        <w:rPr>
          <w:rFonts w:ascii="Times New Roman" w:hAnsi="Times New Roman" w:cs="Times New Roman"/>
          <w:sz w:val="24"/>
          <w:szCs w:val="24"/>
        </w:rPr>
        <w:t>.</w:t>
      </w:r>
      <w:r w:rsidR="00222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CC" w:rsidRPr="00292CAD">
        <w:rPr>
          <w:rFonts w:ascii="Times New Roman" w:hAnsi="Times New Roman" w:cs="Times New Roman"/>
          <w:sz w:val="24"/>
          <w:szCs w:val="24"/>
        </w:rPr>
        <w:t>Пункт 5.1.21</w:t>
      </w:r>
      <w:r w:rsidR="00222ACC" w:rsidRPr="00032371">
        <w:rPr>
          <w:rFonts w:ascii="Times New Roman" w:hAnsi="Times New Roman" w:cs="Times New Roman"/>
          <w:b/>
          <w:sz w:val="24"/>
          <w:szCs w:val="24"/>
        </w:rPr>
        <w:t xml:space="preserve">. Осуществлять мероприятия по проведению информационно – разъяснительной работы по профилактике ВИЧ/СПИД в соответствии с </w:t>
      </w:r>
      <w:r w:rsidR="00222ACC" w:rsidRPr="00032371">
        <w:rPr>
          <w:rFonts w:ascii="Times New Roman" w:eastAsia="Times New Roman" w:hAnsi="Times New Roman" w:cs="Times New Roman"/>
          <w:b/>
          <w:sz w:val="24"/>
          <w:szCs w:val="24"/>
        </w:rPr>
        <w:t>письмом Минздравсоцразвития России от 5 декабря 2011 г. №22-5/10/2-12152.</w:t>
      </w:r>
    </w:p>
    <w:p w:rsidR="00E45220" w:rsidRPr="00E45220" w:rsidRDefault="00022D54" w:rsidP="00E4522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E36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2ACC" w:rsidRPr="00292C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5220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222ACC" w:rsidRPr="00292CAD">
        <w:rPr>
          <w:rFonts w:ascii="Times New Roman" w:hAnsi="Times New Roman" w:cs="Times New Roman"/>
          <w:sz w:val="24"/>
          <w:szCs w:val="24"/>
        </w:rPr>
        <w:t>5.2.6.</w:t>
      </w:r>
      <w:r w:rsidR="00222ACC" w:rsidRPr="0003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CC" w:rsidRPr="00032371">
        <w:rPr>
          <w:rFonts w:ascii="Times New Roman" w:hAnsi="Times New Roman" w:cs="Times New Roman"/>
          <w:b/>
          <w:sz w:val="24"/>
          <w:szCs w:val="24"/>
        </w:rPr>
        <w:t>Работодатель осуществляет оздоровление работников согласно медицинским рекомендациям. Источниками финансирования предупредительных мер по сокращению производственного травматизма и профессиональных заболеваний работников являются собственные средства работодателя и суммы страховых взносов на обязательное социальное страхование от несчастных случаев на производстве и профессиональных заболеваний Фонда социального страхования».</w:t>
      </w:r>
      <w:r w:rsidR="0029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ACC" w:rsidRPr="00032371">
        <w:rPr>
          <w:rFonts w:ascii="Times New Roman" w:hAnsi="Times New Roman" w:cs="Times New Roman"/>
          <w:b/>
          <w:sz w:val="24"/>
          <w:szCs w:val="24"/>
        </w:rPr>
        <w:t>/Приказ Минтруда и социальной защиты РФ</w:t>
      </w:r>
      <w:r w:rsidR="00222ACC" w:rsidRPr="00032371">
        <w:t xml:space="preserve"> </w:t>
      </w:r>
      <w:r w:rsidR="00222ACC" w:rsidRPr="00032371">
        <w:rPr>
          <w:rFonts w:ascii="Times New Roman" w:hAnsi="Times New Roman" w:cs="Times New Roman"/>
          <w:b/>
          <w:sz w:val="24"/>
          <w:szCs w:val="24"/>
        </w:rPr>
        <w:t>от 10.12.2012 № 580н» (в ред.</w:t>
      </w:r>
      <w:r w:rsidR="00222ACC" w:rsidRPr="00032371">
        <w:t xml:space="preserve"> </w:t>
      </w:r>
      <w:r w:rsidR="00222ACC" w:rsidRPr="00E45220">
        <w:rPr>
          <w:rFonts w:ascii="Times New Roman" w:hAnsi="Times New Roman" w:cs="Times New Roman"/>
          <w:b/>
          <w:sz w:val="24"/>
          <w:szCs w:val="24"/>
        </w:rPr>
        <w:t>от 03.12.2018 № 764н</w:t>
      </w:r>
      <w:r w:rsidR="00E45220" w:rsidRPr="00E45220">
        <w:rPr>
          <w:rFonts w:ascii="Times New Roman" w:hAnsi="Times New Roman" w:cs="Times New Roman"/>
          <w:b/>
          <w:sz w:val="24"/>
          <w:szCs w:val="24"/>
        </w:rPr>
        <w:t>.</w:t>
      </w:r>
    </w:p>
    <w:p w:rsidR="00E45220" w:rsidRDefault="00E45220" w:rsidP="00E4522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2ACC" w:rsidRDefault="00FE369D" w:rsidP="00E45220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12</w:t>
      </w:r>
      <w:r w:rsidR="00222ACC" w:rsidRPr="00E4522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222ACC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222ACC" w:rsidRPr="00E4522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приложении № 1 к коллективному договору</w:t>
      </w:r>
      <w:r w:rsidR="00292CAD" w:rsidRPr="00E4522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«Положение об оплате труда»</w:t>
      </w:r>
      <w:r w:rsidR="00222ACC" w:rsidRPr="00E4522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приложение № 1 </w:t>
      </w:r>
      <w:r w:rsidR="00E4522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292CAD" w:rsidRPr="00E45220">
        <w:rPr>
          <w:rFonts w:ascii="Times New Roman" w:eastAsia="Times New Roman" w:hAnsi="Times New Roman" w:cs="Times New Roman"/>
          <w:bCs/>
          <w:sz w:val="24"/>
          <w:szCs w:val="24"/>
        </w:rPr>
        <w:t>Перечень должностей работников МАОУ НШ-ДС № 14</w:t>
      </w:r>
      <w:r w:rsidR="00E4522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222ACC" w:rsidRPr="00E4522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считать утративш</w:t>
      </w:r>
      <w:r w:rsidR="00022D5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им силу. Определить приложение №</w:t>
      </w:r>
      <w:r w:rsidR="00222ACC" w:rsidRPr="00E4522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в следующей редакции</w:t>
      </w:r>
      <w:r w:rsidR="00292CAD" w:rsidRPr="00E4522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</w:p>
    <w:p w:rsidR="00E45220" w:rsidRPr="00E45220" w:rsidRDefault="00E45220" w:rsidP="00E45220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W w:w="110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531"/>
        <w:gridCol w:w="5198"/>
        <w:gridCol w:w="2090"/>
      </w:tblGrid>
      <w:tr w:rsidR="00292CAD" w:rsidRPr="00256160" w:rsidTr="00961A2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>Квалификационные уровни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>Профессиональные квалификационные группы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Размер должностного оклада/ставки заработной платы </w:t>
            </w:r>
          </w:p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92CAD" w:rsidRPr="00256160" w:rsidTr="00961A2B"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14 000,00</w:t>
            </w:r>
          </w:p>
        </w:tc>
      </w:tr>
      <w:tr w:rsidR="00292CAD" w:rsidRPr="00256160" w:rsidTr="00961A2B"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AD" w:rsidRPr="00256160" w:rsidTr="00961A2B"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2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14 500,00</w:t>
            </w:r>
          </w:p>
        </w:tc>
      </w:tr>
      <w:tr w:rsidR="00292CAD" w:rsidRPr="00256160" w:rsidTr="00961A2B"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AD" w:rsidRPr="00256160" w:rsidTr="00961A2B"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3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15 000,00</w:t>
            </w:r>
          </w:p>
        </w:tc>
      </w:tr>
      <w:tr w:rsidR="00292CAD" w:rsidRPr="00256160" w:rsidTr="00961A2B"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AD" w:rsidRPr="00256160" w:rsidTr="00961A2B"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4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1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15 500,00</w:t>
            </w:r>
          </w:p>
        </w:tc>
      </w:tr>
      <w:tr w:rsidR="00292CAD" w:rsidRPr="00256160" w:rsidTr="00961A2B"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1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AD" w:rsidRPr="00256160" w:rsidTr="00961A2B"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1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AD" w:rsidRPr="00256160" w:rsidTr="00961A2B"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1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Педагог-библиотекарь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>Профессиональная квалификационная группа должностей учебно-вспомогательного персонала</w:t>
            </w:r>
          </w:p>
        </w:tc>
      </w:tr>
      <w:tr w:rsidR="00292CAD" w:rsidRPr="00256160" w:rsidTr="00961A2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Младший воспитатель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10 200,00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292CAD" w:rsidRPr="00256160" w:rsidTr="00961A2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2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Заведующий хозяйством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>9 600,00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 xml:space="preserve">Профессиональная квалификационная группа «Общеотраслевые должности служащих» 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292CAD" w:rsidRPr="00256160" w:rsidTr="00961A2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Лаборант компьютерного класса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7 800,00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292CAD" w:rsidRPr="00256160" w:rsidTr="00961A2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Документовед,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8 320,00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  <w:bCs/>
              </w:rPr>
              <w:t xml:space="preserve">Профессиональная квалификационная группа </w:t>
            </w:r>
            <w:r w:rsidR="00A60EF9">
              <w:rPr>
                <w:rFonts w:ascii="Times New Roman" w:eastAsia="Times New Roman" w:hAnsi="Times New Roman" w:cs="Times New Roman"/>
                <w:bCs/>
              </w:rPr>
              <w:t>об</w:t>
            </w:r>
            <w:r w:rsidRPr="00256160">
              <w:rPr>
                <w:rFonts w:ascii="Times New Roman" w:eastAsia="Times New Roman" w:hAnsi="Times New Roman" w:cs="Times New Roman"/>
                <w:bCs/>
              </w:rPr>
              <w:t>щеотраслевых профессий рабочих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92CAD" w:rsidRPr="00256160" w:rsidTr="00961A2B"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lastRenderedPageBreak/>
              <w:t>1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Сторож, кастелянша, уборщик служебных помещений, дворник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292CAD" w:rsidRPr="00256160" w:rsidTr="00961A2B"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7 100,00</w:t>
            </w:r>
          </w:p>
        </w:tc>
      </w:tr>
      <w:tr w:rsidR="00292CAD" w:rsidRPr="00256160" w:rsidTr="00961A2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92CAD" w:rsidRPr="00256160" w:rsidTr="00961A2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 квалификационный уровень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AD" w:rsidRPr="00256160" w:rsidRDefault="00292CAD" w:rsidP="0096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60">
              <w:rPr>
                <w:rFonts w:ascii="Times New Roman" w:eastAsia="Times New Roman" w:hAnsi="Times New Roman" w:cs="Times New Roman"/>
              </w:rPr>
              <w:t>7 896,00</w:t>
            </w:r>
          </w:p>
        </w:tc>
      </w:tr>
    </w:tbl>
    <w:p w:rsidR="00E45220" w:rsidRDefault="00E45220" w:rsidP="00E4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220" w:rsidRPr="00032371" w:rsidRDefault="00E45220" w:rsidP="00E4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71">
        <w:rPr>
          <w:rFonts w:ascii="Times New Roman" w:hAnsi="Times New Roman" w:cs="Times New Roman"/>
          <w:sz w:val="24"/>
          <w:szCs w:val="24"/>
        </w:rPr>
        <w:t>Условия коллективного договора, не затронутые настоящим дополнительным соглашением, остаются неизменными.</w:t>
      </w:r>
    </w:p>
    <w:p w:rsidR="00E45220" w:rsidRPr="00032371" w:rsidRDefault="00E45220" w:rsidP="00E4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71">
        <w:rPr>
          <w:rFonts w:ascii="Times New Roman" w:hAnsi="Times New Roman" w:cs="Times New Roman"/>
          <w:sz w:val="24"/>
          <w:szCs w:val="24"/>
        </w:rPr>
        <w:t xml:space="preserve">   Дополнительное соглашение о внесении изменений и дополнений в коллективный договор вступает в силу с момента его принятия.</w:t>
      </w:r>
    </w:p>
    <w:p w:rsidR="00E45220" w:rsidRPr="00032371" w:rsidRDefault="00E45220" w:rsidP="00E4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71">
        <w:rPr>
          <w:rFonts w:ascii="Times New Roman" w:hAnsi="Times New Roman" w:cs="Times New Roman"/>
          <w:sz w:val="24"/>
          <w:szCs w:val="24"/>
        </w:rPr>
        <w:t xml:space="preserve">    Настоящее дополнительное соглашение является неотъемлемой частью коллективного договора Муниципального автономного общеобразовательного учреждения «Начальная школа-детский сад № 14» на 2019-2021 годы.</w:t>
      </w:r>
    </w:p>
    <w:p w:rsidR="00292CAD" w:rsidRPr="00E45220" w:rsidRDefault="00292CAD" w:rsidP="00222AC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92CAD" w:rsidRPr="00E45220" w:rsidSect="007E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486D"/>
    <w:multiLevelType w:val="hybridMultilevel"/>
    <w:tmpl w:val="D3AA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2A82"/>
    <w:multiLevelType w:val="hybridMultilevel"/>
    <w:tmpl w:val="B276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D74"/>
    <w:rsid w:val="00022D54"/>
    <w:rsid w:val="00222ACC"/>
    <w:rsid w:val="00292CAD"/>
    <w:rsid w:val="002F3681"/>
    <w:rsid w:val="00362FC1"/>
    <w:rsid w:val="003E67F5"/>
    <w:rsid w:val="00512806"/>
    <w:rsid w:val="0058433E"/>
    <w:rsid w:val="007832A0"/>
    <w:rsid w:val="007E13D9"/>
    <w:rsid w:val="008E0D74"/>
    <w:rsid w:val="00A60EF9"/>
    <w:rsid w:val="00C52C9A"/>
    <w:rsid w:val="00E45220"/>
    <w:rsid w:val="00F177E4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5BEA4"/>
  <w15:docId w15:val="{E0CD997D-F575-4596-8BF8-60785B53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CC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rsid w:val="00222ACC"/>
    <w:rPr>
      <w:color w:val="0000FF"/>
      <w:u w:val="single"/>
    </w:rPr>
  </w:style>
  <w:style w:type="table" w:styleId="a5">
    <w:name w:val="Table Grid"/>
    <w:basedOn w:val="a1"/>
    <w:uiPriority w:val="59"/>
    <w:rsid w:val="002F3681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F36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lera-пк</cp:lastModifiedBy>
  <cp:revision>7</cp:revision>
  <cp:lastPrinted>2019-08-14T06:24:00Z</cp:lastPrinted>
  <dcterms:created xsi:type="dcterms:W3CDTF">2019-08-14T04:21:00Z</dcterms:created>
  <dcterms:modified xsi:type="dcterms:W3CDTF">2021-07-27T09:21:00Z</dcterms:modified>
</cp:coreProperties>
</file>